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14 79 vom 22. Mai 2014</w:t>
      </w:r>
    </w:p>
    <w:p>
      <w:r>
        <w:t>BL Gerichte, 2014-05-22, DE</w:t>
      </w:r>
    </w:p>
    <w:p>
      <w:r>
        <w:rPr>
          <w:b/>
        </w:rPr>
        <w:t xml:space="preserve">Quelle: </w:t>
      </w:r>
      <w:r>
        <w:t>https://mcp.opencaselaw.ch/entscheid/bl_gerichte_810 14 79</w:t>
      </w:r>
    </w:p>
    <w:p>
      <w:r>
        <w:t>FR: BL_GERICHTE 810 14 79 du 22 mai 2014</w:t>
      </w:r>
    </w:p>
    <w:p>
      <w:r>
        <w:t>IT: BL_GERICHTE 810 14 79 del 22 maggio 2014</w:t>
      </w:r>
    </w:p>
    <w:p>
      <w:pPr>
        <w:pStyle w:val="Heading2"/>
      </w:pPr>
      <w:r>
        <w:t>Regeste</w:t>
      </w:r>
    </w:p>
    <w:p>
      <w:r>
        <w:t>Ausübung des Besuchsrechts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Gemäss Art. 450 Abs. 1 ZGB kann gegen Entscheide der Kindes- und Erwachsenenschutzbehörde Beschwerde beim zuständigen Gericht erhoben werden. Von Bundesrechts wegen anfechtbar sind sämtliche Endentscheide (Art. 450 Abs. 1 ZGB) sowie Zwischenentscheide über vorsorgliche Massnahmen (Art. 445 Abs. 3 ZGB). Der angefochtene Entscheid hat die Verweigerung der vorläufigen Sistierung des Besuchsrechts und damit einen im Rahmen des Hauptverfahrens um Neuregelung des Besuchsrechts ergangenen Zwischenentscheid im Sinne von Art. 445 Abs. 3 ZGB zum Gegenstand (vgl. Urteil des Bundesgerichts 5A_46/2014 vom 4. April 2014 E. 1.1). Die Zuständigkeit zur Beurteilung der vorliegenden Streitsache liegt demnach in analoger Anwendung von § 43 Abs. 2 bis lit. f des Gesetzes über die Verfassungs- und Verwaltungsprozessordnung (VPO) vom 16. Dezember 1993 bei der präsidierenden Person (§ 66 Abs. 2 des Gesetzes über die Einführung des Zivilgesetzbuches [EG ZGB] vom 16. November 2006 in Verbindung mit § 1 Abs. 3 lit. f VPO). Da auch die weiteren Prozessvoraussetzungen erfüllt sind, kann auf die Beschwerde eingetreten werden.</w:t>
      </w:r>
    </w:p>
    <w:p>
      <w:r>
        <w:rPr>
          <w:b/>
        </w:rPr>
        <w:t>E. 2</w:t>
      </w:r>
    </w:p>
    <w:p>
      <w:r>
        <w:t>Die Verfahrenskosten in der Höhe von Fr. 500.-- werden der Beschwerdeführerin auferlegt und gehen zufolge Bewilligung der unentgeltlichen Prozessführung zulasten der Gerichtskasse.</w:t>
      </w:r>
    </w:p>
    <w:p>
      <w:r>
        <w:rPr>
          <w:b/>
        </w:rPr>
        <w:t>E. 3</w:t>
      </w:r>
    </w:p>
    <w:p>
      <w:r>
        <w:t>Die Parteikosten werden wettgeschlagen. Dem Rechtsvertreter der Beschwerdeführerin wird zufolge Bewilligung der unentgeltlichen Verbeiständung ein Honorar in der Höhe von Fr. 1'200.-- (inkl. 8 % Mehrwertsteuer) aus der Gerichtskasse ausgerichtet.</w:t>
      </w:r>
    </w:p>
    <w:p>
      <w:r>
        <w:rPr>
          <w:b/>
        </w:rPr>
        <w:t>E. 4</w:t>
      </w:r>
    </w:p>
    <w:p>
      <w:r>
        <w:t>Je eine Kopie der Eingaben der Beschwerdeführerin vom 15. Mai 2014 und des Beigeladenen vom 17. Mai 2014 geht an die jeweiligen Verfahrensbeteiligten zur Kenntnisnahme. Präsidentin Gerichtsschreiber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